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6AA7" w:rsidR="005B6AA7" w:rsidP="005B6AA7" w:rsidRDefault="005B6AA7" w14:paraId="33C35E85" w14:textId="77777777">
      <w:pPr>
        <w:jc w:val="center"/>
        <w:rPr>
          <w:rFonts w:ascii="Times New Roman" w:hAnsi="Times New Roman" w:cs="Times New Roman"/>
          <w:b/>
          <w:sz w:val="24"/>
          <w:szCs w:val="24"/>
        </w:rPr>
      </w:pPr>
      <w:r w:rsidRPr="005B6AA7">
        <w:rPr>
          <w:rFonts w:ascii="Times New Roman" w:hAnsi="Times New Roman" w:cs="Times New Roman"/>
          <w:b/>
          <w:sz w:val="24"/>
          <w:szCs w:val="24"/>
        </w:rPr>
        <w:t>Template Letter: Please Customize as Needed to Enforce April 24 Rulings</w:t>
      </w:r>
    </w:p>
    <w:p w:rsidRPr="005B6AA7" w:rsidR="005B6AA7" w:rsidRDefault="005B6AA7" w14:paraId="690DE10A" w14:textId="77777777">
      <w:pPr>
        <w:rPr>
          <w:rFonts w:ascii="Times New Roman" w:hAnsi="Times New Roman" w:cs="Times New Roman"/>
          <w:sz w:val="24"/>
          <w:szCs w:val="24"/>
        </w:rPr>
      </w:pPr>
      <w:r w:rsidRPr="005B6AA7">
        <w:rPr>
          <w:rFonts w:ascii="Times New Roman" w:hAnsi="Times New Roman" w:cs="Times New Roman"/>
          <w:sz w:val="24"/>
          <w:szCs w:val="24"/>
        </w:rPr>
        <w:t xml:space="preserve">Dear Superintendent/School Board/University President: </w:t>
      </w:r>
    </w:p>
    <w:p w:rsidRPr="005B6AA7" w:rsidR="005B6AA7" w:rsidRDefault="005B6AA7" w14:paraId="547F3CD6" w14:textId="74278625">
      <w:pPr>
        <w:rPr>
          <w:rFonts w:ascii="Times New Roman" w:hAnsi="Times New Roman" w:cs="Times New Roman"/>
          <w:sz w:val="24"/>
          <w:szCs w:val="24"/>
        </w:rPr>
      </w:pPr>
      <w:r w:rsidRPr="22F75C11" w:rsidR="005B6AA7">
        <w:rPr>
          <w:rFonts w:ascii="Times New Roman" w:hAnsi="Times New Roman" w:cs="Times New Roman"/>
          <w:sz w:val="24"/>
          <w:szCs w:val="24"/>
        </w:rPr>
        <w:t xml:space="preserve">On April 24, </w:t>
      </w:r>
      <w:r w:rsidRPr="22F75C11" w:rsidR="005B6AA7">
        <w:rPr>
          <w:rFonts w:ascii="Times New Roman" w:hAnsi="Times New Roman" w:cs="Times New Roman"/>
          <w:sz w:val="24"/>
          <w:szCs w:val="24"/>
        </w:rPr>
        <w:t xml:space="preserve">three different judges in three different federal courts halted the actions by the U.S. Department of Education to stifle and shutter efforts in schools, </w:t>
      </w:r>
      <w:r w:rsidRPr="22F75C11" w:rsidR="005B6AA7">
        <w:rPr>
          <w:rFonts w:ascii="Times New Roman" w:hAnsi="Times New Roman" w:cs="Times New Roman"/>
          <w:sz w:val="24"/>
          <w:szCs w:val="24"/>
        </w:rPr>
        <w:t>colleges</w:t>
      </w:r>
      <w:r w:rsidRPr="22F75C11" w:rsidR="005B6AA7">
        <w:rPr>
          <w:rFonts w:ascii="Times New Roman" w:hAnsi="Times New Roman" w:cs="Times New Roman"/>
          <w:sz w:val="24"/>
          <w:szCs w:val="24"/>
        </w:rPr>
        <w:t xml:space="preserve"> and universities to advance educational opportunity for all students through inclusive curriculum and diversity, </w:t>
      </w:r>
      <w:r w:rsidRPr="22F75C11" w:rsidR="005B6AA7">
        <w:rPr>
          <w:rFonts w:ascii="Times New Roman" w:hAnsi="Times New Roman" w:cs="Times New Roman"/>
          <w:sz w:val="24"/>
          <w:szCs w:val="24"/>
        </w:rPr>
        <w:t>equity</w:t>
      </w:r>
      <w:r w:rsidRPr="22F75C11" w:rsidR="005B6AA7">
        <w:rPr>
          <w:rFonts w:ascii="Times New Roman" w:hAnsi="Times New Roman" w:cs="Times New Roman"/>
          <w:sz w:val="24"/>
          <w:szCs w:val="24"/>
        </w:rPr>
        <w:t xml:space="preserve"> and inclusion effort</w:t>
      </w:r>
      <w:r w:rsidRPr="22F75C11" w:rsidR="5679DA27">
        <w:rPr>
          <w:rFonts w:ascii="Times New Roman" w:hAnsi="Times New Roman" w:cs="Times New Roman"/>
          <w:sz w:val="24"/>
          <w:szCs w:val="24"/>
        </w:rPr>
        <w:t>s.</w:t>
      </w:r>
    </w:p>
    <w:p w:rsidRPr="005B6AA7" w:rsidR="005B6AA7" w:rsidRDefault="005B6AA7" w14:paraId="304DAF6A" w14:textId="77777777">
      <w:pPr>
        <w:rPr>
          <w:rFonts w:ascii="Times New Roman" w:hAnsi="Times New Roman" w:cs="Times New Roman"/>
          <w:sz w:val="24"/>
          <w:szCs w:val="24"/>
        </w:rPr>
      </w:pPr>
      <w:r w:rsidRPr="005B6AA7">
        <w:rPr>
          <w:rFonts w:ascii="Times New Roman" w:hAnsi="Times New Roman" w:cs="Times New Roman"/>
          <w:sz w:val="24"/>
          <w:szCs w:val="24"/>
        </w:rPr>
        <w:t xml:space="preserve">On Feb. 14, 2025, the department issued a </w:t>
      </w:r>
      <w:hyperlink w:history="1" r:id="rId10">
        <w:r w:rsidRPr="005B6AA7">
          <w:rPr>
            <w:rStyle w:val="Hyperlink"/>
            <w:rFonts w:ascii="Times New Roman" w:hAnsi="Times New Roman" w:cs="Times New Roman"/>
            <w:sz w:val="24"/>
            <w:szCs w:val="24"/>
          </w:rPr>
          <w:t>Dear Colleague letter</w:t>
        </w:r>
      </w:hyperlink>
      <w:r w:rsidRPr="005B6AA7">
        <w:rPr>
          <w:rFonts w:ascii="Times New Roman" w:hAnsi="Times New Roman" w:cs="Times New Roman"/>
          <w:sz w:val="24"/>
          <w:szCs w:val="24"/>
        </w:rPr>
        <w:t xml:space="preserve"> that threatened to revoke federal funding for any school or college that engaged in certain DEI efforts, which the department did not define. The department followed its letter with two sets of FAQs, which also did not provide clarity as to what conduct was prohibited. The department then set up an “End DEI” portal for the public to report on impermissible “indoctrination” in the schools. And then on April 3, the department demanded that state education agencies certify—and rapidly obtain certifications from all local education agencies—that they agree to conform their conduct and educational programming to the views expressed in its Feb. 14 letter. In response to these troubling actions, school districts and colleges took steps to censor or shutter efforts to advance DEI work, including by [insert here any actions taken by your school district or college to censor or shutter efforts to advance diversity, equity and inclusion work]. </w:t>
      </w:r>
    </w:p>
    <w:p w:rsidR="005B6AA7" w:rsidRDefault="005B6AA7" w14:paraId="2F4F4EE6" w14:textId="77777777">
      <w:pPr>
        <w:rPr>
          <w:rFonts w:ascii="Times New Roman" w:hAnsi="Times New Roman" w:cs="Times New Roman"/>
          <w:sz w:val="24"/>
          <w:szCs w:val="24"/>
        </w:rPr>
      </w:pPr>
      <w:r w:rsidRPr="005B6AA7">
        <w:rPr>
          <w:rFonts w:ascii="Times New Roman" w:hAnsi="Times New Roman" w:cs="Times New Roman"/>
          <w:sz w:val="24"/>
          <w:szCs w:val="24"/>
        </w:rPr>
        <w:t xml:space="preserve">The AFT, the NEA and the NAACP responded to the department’s unlawful attempt to interfere with school and college curriculum and educational programming decisions by filing suits, with the support of Democracy Forward, the ACLU and the NAACP Legal Defense Fund. The three separate lawsuits challenged the department’s actions as violations of the First Amendment, the due process clause of the Fifth Amendment, and the Administrative Procedure Act on several grounds, including that the department is prohibited from directing or controlling, directly or indirectly, curriculum and educational programming decisions by states, school districts and colleges and universities. See, e.g., Department of Education Organization Act 20 U.S.C. §3403(b) (recognizing that states and localities retain control over education decisions and that the department has no authority to interfere with such curriculum and educational programming decisions in states). </w:t>
      </w:r>
    </w:p>
    <w:p w:rsidR="005B6AA7" w:rsidRDefault="005B6AA7" w14:paraId="10929BC8" w14:textId="77777777">
      <w:pPr>
        <w:rPr>
          <w:rFonts w:ascii="Times New Roman" w:hAnsi="Times New Roman" w:cs="Times New Roman"/>
          <w:sz w:val="24"/>
          <w:szCs w:val="24"/>
        </w:rPr>
      </w:pPr>
      <w:r w:rsidRPr="005B6AA7">
        <w:rPr>
          <w:rFonts w:ascii="Times New Roman" w:hAnsi="Times New Roman" w:cs="Times New Roman"/>
          <w:sz w:val="24"/>
          <w:szCs w:val="24"/>
        </w:rPr>
        <w:t xml:space="preserve">The three lawsuits were filed by each organization, in coalition with others, in the U.S. District Courts in New Hampshire, Maryland and D.C. And each set of plaintiffs subsequently moved for preliminary relief against the department’s actions. On April 24, all three courts issuing rulings granting, in whole or in part, the requested relief. The New Hampshire court enjoined the department from enforcing or implementing the Feb. 14 Dear Colleague letter, the April 3 certification requirement or the “End DEI” portal in any school district or college in which an NEA member works [insert “including this school district/college/university” if an NEA member works in the district or for the college/university]. </w:t>
      </w:r>
      <w:hyperlink w:history="1" r:id="rId11">
        <w:r w:rsidRPr="005B6AA7">
          <w:rPr>
            <w:rStyle w:val="Hyperlink"/>
            <w:rFonts w:ascii="Times New Roman" w:hAnsi="Times New Roman" w:cs="Times New Roman"/>
            <w:sz w:val="24"/>
            <w:szCs w:val="24"/>
          </w:rPr>
          <w:t>New Hampshire ruling</w:t>
        </w:r>
      </w:hyperlink>
      <w:r w:rsidRPr="005B6AA7">
        <w:rPr>
          <w:rFonts w:ascii="Times New Roman" w:hAnsi="Times New Roman" w:cs="Times New Roman"/>
          <w:sz w:val="24"/>
          <w:szCs w:val="24"/>
        </w:rPr>
        <w:t xml:space="preserve"> at 81. The Maryland court enjoined the department from enforcing the Feb. 14 Dear Colleague letter anywhere in the country. </w:t>
      </w:r>
      <w:hyperlink w:history="1" r:id="rId12">
        <w:r w:rsidRPr="005B6AA7">
          <w:rPr>
            <w:rStyle w:val="Hyperlink"/>
            <w:rFonts w:ascii="Times New Roman" w:hAnsi="Times New Roman" w:cs="Times New Roman"/>
            <w:sz w:val="24"/>
            <w:szCs w:val="24"/>
          </w:rPr>
          <w:t>Maryland ruling</w:t>
        </w:r>
      </w:hyperlink>
      <w:r w:rsidRPr="005B6AA7">
        <w:rPr>
          <w:rFonts w:ascii="Times New Roman" w:hAnsi="Times New Roman" w:cs="Times New Roman"/>
          <w:sz w:val="24"/>
          <w:szCs w:val="24"/>
        </w:rPr>
        <w:t xml:space="preserve"> at 46-47. And the D.C. court enjoined the department from enforcing the certification requirement. </w:t>
      </w:r>
      <w:hyperlink w:history="1" r:id="rId13">
        <w:r w:rsidRPr="005B6AA7">
          <w:rPr>
            <w:rStyle w:val="Hyperlink"/>
            <w:rFonts w:ascii="Times New Roman" w:hAnsi="Times New Roman" w:cs="Times New Roman"/>
            <w:sz w:val="24"/>
            <w:szCs w:val="24"/>
          </w:rPr>
          <w:t>D.C. ruling</w:t>
        </w:r>
      </w:hyperlink>
      <w:r w:rsidRPr="005B6AA7">
        <w:rPr>
          <w:rFonts w:ascii="Times New Roman" w:hAnsi="Times New Roman" w:cs="Times New Roman"/>
          <w:sz w:val="24"/>
          <w:szCs w:val="24"/>
        </w:rPr>
        <w:t xml:space="preserve"> at 2. 7 </w:t>
      </w:r>
    </w:p>
    <w:p w:rsidR="005B6AA7" w:rsidRDefault="005B6AA7" w14:paraId="636F1368" w14:textId="77777777">
      <w:pPr>
        <w:rPr>
          <w:rFonts w:ascii="Times New Roman" w:hAnsi="Times New Roman" w:cs="Times New Roman"/>
          <w:sz w:val="24"/>
          <w:szCs w:val="24"/>
        </w:rPr>
      </w:pPr>
      <w:r w:rsidRPr="005B6AA7">
        <w:rPr>
          <w:rFonts w:ascii="Times New Roman" w:hAnsi="Times New Roman" w:cs="Times New Roman"/>
          <w:sz w:val="24"/>
          <w:szCs w:val="24"/>
        </w:rPr>
        <w:lastRenderedPageBreak/>
        <w:t xml:space="preserve">These three rulings mean that the U.S. Department of Education can no longer enforce and/or implement the Dear Colleague letter, the related FAQs, the “End DEI” portal or the certification requirement. The department has no authority to interfere, directly or indirectly, with state, school district, college or university decisions over the curriculum that will be taught and the educational programming that will be offered. </w:t>
      </w:r>
    </w:p>
    <w:p w:rsidR="005B6AA7" w:rsidRDefault="005B6AA7" w14:paraId="37486F1F" w14:textId="77777777">
      <w:pPr>
        <w:rPr>
          <w:rFonts w:ascii="Times New Roman" w:hAnsi="Times New Roman" w:cs="Times New Roman"/>
          <w:sz w:val="24"/>
          <w:szCs w:val="24"/>
        </w:rPr>
      </w:pPr>
      <w:r w:rsidRPr="005B6AA7">
        <w:rPr>
          <w:rFonts w:ascii="Times New Roman" w:hAnsi="Times New Roman" w:cs="Times New Roman"/>
          <w:sz w:val="24"/>
          <w:szCs w:val="24"/>
        </w:rPr>
        <w:t xml:space="preserve">We therefore call on [the district/college/university] to restore fully and immediately all programs, curriculum, syllabuses and other educational offerings that were paused, halted or modified as a result of the department’s Feb. 14 Dear Colleague letter or the enforcement of that letter through the “End DEI” portal, the certification demand or any other means. These program and instructional approaches [fill in specifics of programs cut or censored and explain their importance to students and their education]. These programs and instructional approaches advance equal educational opportunity by ensuring that instruction, curriculum and programs recognize racial diversity and address the ways in which racism has limited instruction, educational curriculum, educational programming and opportunity. We know that a culturally responsive and racially inclusive education benefits all students and offers the most </w:t>
      </w:r>
      <w:r>
        <w:rPr>
          <w:rFonts w:ascii="Times New Roman" w:hAnsi="Times New Roman" w:cs="Times New Roman"/>
          <w:sz w:val="24"/>
          <w:szCs w:val="24"/>
        </w:rPr>
        <w:t>effective pedagogical approach,</w:t>
      </w:r>
      <w:r>
        <w:rPr>
          <w:rStyle w:val="FootnoteReference"/>
          <w:rFonts w:ascii="Times New Roman" w:hAnsi="Times New Roman" w:cs="Times New Roman"/>
          <w:sz w:val="24"/>
          <w:szCs w:val="24"/>
        </w:rPr>
        <w:footnoteReference w:id="1"/>
      </w:r>
      <w:r w:rsidRPr="005B6AA7">
        <w:rPr>
          <w:rFonts w:ascii="Times New Roman" w:hAnsi="Times New Roman" w:cs="Times New Roman"/>
          <w:sz w:val="24"/>
          <w:szCs w:val="24"/>
        </w:rPr>
        <w:t xml:space="preserve"> leading to students who are more engaged, perform better academically</w:t>
      </w:r>
      <w:r w:rsidR="00062769">
        <w:rPr>
          <w:rFonts w:ascii="Times New Roman" w:hAnsi="Times New Roman" w:cs="Times New Roman"/>
          <w:sz w:val="24"/>
          <w:szCs w:val="24"/>
        </w:rPr>
        <w:t>, and graduate at higher rates.</w:t>
      </w:r>
      <w:r w:rsidR="00062769">
        <w:rPr>
          <w:rStyle w:val="FootnoteReference"/>
          <w:rFonts w:ascii="Times New Roman" w:hAnsi="Times New Roman" w:cs="Times New Roman"/>
          <w:sz w:val="24"/>
          <w:szCs w:val="24"/>
        </w:rPr>
        <w:footnoteReference w:id="2"/>
      </w:r>
      <w:r w:rsidRPr="005B6AA7">
        <w:rPr>
          <w:rFonts w:ascii="Times New Roman" w:hAnsi="Times New Roman" w:cs="Times New Roman"/>
          <w:sz w:val="24"/>
          <w:szCs w:val="24"/>
        </w:rPr>
        <w:t xml:space="preserve"> And such approaches prepare students to thrive in our multiracial democracy, preparing them as citizens and voters who are able to critically engage with the world and make their place within it. </w:t>
      </w:r>
    </w:p>
    <w:p w:rsidRPr="005B6AA7" w:rsidR="0017432A" w:rsidRDefault="005B6AA7" w14:paraId="70DBD924" w14:textId="77777777">
      <w:pPr>
        <w:rPr>
          <w:rFonts w:ascii="Times New Roman" w:hAnsi="Times New Roman" w:cs="Times New Roman"/>
          <w:sz w:val="24"/>
          <w:szCs w:val="24"/>
        </w:rPr>
      </w:pPr>
      <w:r w:rsidRPr="005B6AA7">
        <w:rPr>
          <w:rFonts w:ascii="Times New Roman" w:hAnsi="Times New Roman" w:cs="Times New Roman"/>
          <w:sz w:val="24"/>
          <w:szCs w:val="24"/>
        </w:rPr>
        <w:t>We further call on [the district/college/university] to reaffirm its commitment to academic freedom and to protect students, faculty and staff in the exercise of their First Amendment rights. Our schools and universities must be forums where free and open debates about the issues that matter most are encouraged, not silenced or chilled by fears of retaliation for engaging in speech that is disfavored. As institutions whose very mission is education, our schools and colleges must set an example, by their words and actions, that decisions about curriculum and instruction are off-limits from federal interference and censorship efforts.</w:t>
      </w:r>
      <w:bookmarkStart w:name="_GoBack" w:id="0"/>
      <w:bookmarkEnd w:id="0"/>
    </w:p>
    <w:sectPr w:rsidRPr="005B6AA7" w:rsidR="0017432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AA7" w:rsidP="005B6AA7" w:rsidRDefault="005B6AA7" w14:paraId="399ABDD8" w14:textId="77777777">
      <w:pPr>
        <w:spacing w:after="0" w:line="240" w:lineRule="auto"/>
      </w:pPr>
      <w:r>
        <w:separator/>
      </w:r>
    </w:p>
  </w:endnote>
  <w:endnote w:type="continuationSeparator" w:id="0">
    <w:p w:rsidR="005B6AA7" w:rsidP="005B6AA7" w:rsidRDefault="005B6AA7" w14:paraId="2BC386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AA7" w:rsidP="005B6AA7" w:rsidRDefault="005B6AA7" w14:paraId="2A6E1EFE" w14:textId="77777777">
      <w:pPr>
        <w:spacing w:after="0" w:line="240" w:lineRule="auto"/>
      </w:pPr>
      <w:r>
        <w:separator/>
      </w:r>
    </w:p>
  </w:footnote>
  <w:footnote w:type="continuationSeparator" w:id="0">
    <w:p w:rsidR="005B6AA7" w:rsidP="005B6AA7" w:rsidRDefault="005B6AA7" w14:paraId="07C872A7" w14:textId="77777777">
      <w:pPr>
        <w:spacing w:after="0" w:line="240" w:lineRule="auto"/>
      </w:pPr>
      <w:r>
        <w:continuationSeparator/>
      </w:r>
    </w:p>
  </w:footnote>
  <w:footnote w:id="1">
    <w:p w:rsidRPr="00062769" w:rsidR="005B6AA7" w:rsidRDefault="005B6AA7" w14:paraId="4E65B305" w14:textId="77777777">
      <w:pPr>
        <w:pStyle w:val="FootnoteText"/>
        <w:rPr>
          <w:rFonts w:ascii="Times New Roman" w:hAnsi="Times New Roman" w:cs="Times New Roman"/>
        </w:rPr>
      </w:pPr>
      <w:r w:rsidRPr="00062769">
        <w:rPr>
          <w:rStyle w:val="FootnoteReference"/>
          <w:rFonts w:ascii="Times New Roman" w:hAnsi="Times New Roman" w:cs="Times New Roman"/>
        </w:rPr>
        <w:footnoteRef/>
      </w:r>
      <w:r w:rsidRPr="00062769">
        <w:rPr>
          <w:rFonts w:ascii="Times New Roman" w:hAnsi="Times New Roman" w:cs="Times New Roman"/>
        </w:rPr>
        <w:t xml:space="preserve"> </w:t>
      </w:r>
      <w:r w:rsidRPr="00062769">
        <w:rPr>
          <w:rFonts w:ascii="Times New Roman" w:hAnsi="Times New Roman" w:cs="Times New Roman"/>
        </w:rPr>
        <w:t>See</w:t>
      </w:r>
      <w:r w:rsidRPr="00062769">
        <w:rPr>
          <w:rFonts w:ascii="Times New Roman" w:hAnsi="Times New Roman" w:cs="Times New Roman"/>
        </w:rPr>
        <w:t xml:space="preserve"> </w:t>
      </w:r>
      <w:r w:rsidRPr="00062769">
        <w:rPr>
          <w:rFonts w:ascii="Times New Roman" w:hAnsi="Times New Roman" w:cs="Times New Roman"/>
        </w:rPr>
        <w:t xml:space="preserve">National Education Association and Law Firm Antiracism Alliance, </w:t>
      </w:r>
      <w:hyperlink w:history="1" r:id="rId1">
        <w:proofErr w:type="gramStart"/>
        <w:r w:rsidRPr="00062769">
          <w:rPr>
            <w:rStyle w:val="Hyperlink"/>
            <w:rFonts w:ascii="Times New Roman" w:hAnsi="Times New Roman" w:cs="Times New Roman"/>
            <w:i/>
          </w:rPr>
          <w:t>The</w:t>
        </w:r>
        <w:proofErr w:type="gramEnd"/>
        <w:r w:rsidRPr="00062769">
          <w:rPr>
            <w:rStyle w:val="Hyperlink"/>
            <w:rFonts w:ascii="Times New Roman" w:hAnsi="Times New Roman" w:cs="Times New Roman"/>
            <w:i/>
          </w:rPr>
          <w:t xml:space="preserve"> Very Foundation of Good Citizenship: The Legal and Pedagogical Case for Culturally Responsive and Racially Inclusive Public Education for All Students</w:t>
        </w:r>
      </w:hyperlink>
      <w:r w:rsidRPr="00062769">
        <w:rPr>
          <w:rFonts w:ascii="Times New Roman" w:hAnsi="Times New Roman" w:cs="Times New Roman"/>
        </w:rPr>
        <w:t xml:space="preserve"> (2022)</w:t>
      </w:r>
      <w:r w:rsidRPr="00062769">
        <w:rPr>
          <w:rFonts w:ascii="Times New Roman" w:hAnsi="Times New Roman" w:cs="Times New Roman"/>
        </w:rPr>
        <w:t>.</w:t>
      </w:r>
    </w:p>
  </w:footnote>
  <w:footnote w:id="2">
    <w:p w:rsidRPr="00062769" w:rsidR="00062769" w:rsidRDefault="00062769" w14:paraId="2E91B334" w14:textId="77777777">
      <w:pPr>
        <w:pStyle w:val="FootnoteText"/>
        <w:rPr>
          <w:rFonts w:ascii="Times New Roman" w:hAnsi="Times New Roman" w:cs="Times New Roman"/>
        </w:rPr>
      </w:pPr>
      <w:r w:rsidRPr="00062769">
        <w:rPr>
          <w:rStyle w:val="FootnoteReference"/>
          <w:rFonts w:ascii="Times New Roman" w:hAnsi="Times New Roman" w:cs="Times New Roman"/>
        </w:rPr>
        <w:footnoteRef/>
      </w:r>
      <w:r w:rsidRPr="00062769">
        <w:rPr>
          <w:rFonts w:ascii="Times New Roman" w:hAnsi="Times New Roman" w:cs="Times New Roman"/>
        </w:rPr>
        <w:t xml:space="preserve"> </w:t>
      </w:r>
      <w:r w:rsidRPr="00062769">
        <w:rPr>
          <w:rFonts w:ascii="Times New Roman" w:hAnsi="Times New Roman" w:cs="Times New Roman"/>
          <w:i/>
        </w:rPr>
        <w:t>Id.</w:t>
      </w:r>
      <w:r w:rsidRPr="00062769">
        <w:rPr>
          <w:rFonts w:ascii="Times New Roman" w:hAnsi="Times New Roman" w:cs="Times New Roman"/>
        </w:rPr>
        <w:t xml:space="preserve"> At 9 (citing studies).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A7"/>
    <w:rsid w:val="00062769"/>
    <w:rsid w:val="005B6AA7"/>
    <w:rsid w:val="00677C21"/>
    <w:rsid w:val="009D362F"/>
    <w:rsid w:val="22F75C11"/>
    <w:rsid w:val="5679D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5E02"/>
  <w15:chartTrackingRefBased/>
  <w15:docId w15:val="{6A0CF61C-AF2B-4722-9169-D5B9A0EE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B6AA7"/>
    <w:rPr>
      <w:color w:val="0563C1" w:themeColor="hyperlink"/>
      <w:u w:val="single"/>
    </w:rPr>
  </w:style>
  <w:style w:type="paragraph" w:styleId="FootnoteText">
    <w:name w:val="footnote text"/>
    <w:basedOn w:val="Normal"/>
    <w:link w:val="FootnoteTextChar"/>
    <w:uiPriority w:val="99"/>
    <w:semiHidden/>
    <w:unhideWhenUsed/>
    <w:rsid w:val="005B6AA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B6AA7"/>
    <w:rPr>
      <w:sz w:val="20"/>
      <w:szCs w:val="20"/>
    </w:rPr>
  </w:style>
  <w:style w:type="character" w:styleId="FootnoteReference">
    <w:name w:val="footnote reference"/>
    <w:basedOn w:val="DefaultParagraphFont"/>
    <w:uiPriority w:val="99"/>
    <w:semiHidden/>
    <w:unhideWhenUsed/>
    <w:rsid w:val="005B6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torage.courtlistener.com/recap/gov.uscourts.dcd.279521/gov.uscourts.dcd.279521.31.0.pdf"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torage.courtlistener.com/recap/gov.uscourts.mdd.577437/gov.uscourts.mdd.577437.60.0.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torage.courtlistener.com/recap/gov.uscourts.nhd.65138/gov.uscourts.nhd.65138.74.0_1.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ed.gov/media/document/dear-colleague-letter-sffa-v-harvard-109506.pdf"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ea.org/sites/default/files/2022-09/lfaa-nea-whi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970FD6465E447A1E721570C35A35E" ma:contentTypeVersion="13" ma:contentTypeDescription="Create a new document." ma:contentTypeScope="" ma:versionID="6514cf0bc3f70c8ccc7fc32527141418">
  <xsd:schema xmlns:xsd="http://www.w3.org/2001/XMLSchema" xmlns:xs="http://www.w3.org/2001/XMLSchema" xmlns:p="http://schemas.microsoft.com/office/2006/metadata/properties" xmlns:ns3="18f55b4a-d8e4-4938-8bf0-18ed312e4538" xmlns:ns4="dad4d051-cb8c-47f3-b327-b41ebb9e672e" targetNamespace="http://schemas.microsoft.com/office/2006/metadata/properties" ma:root="true" ma:fieldsID="a3bcd8129690334589ed138f821ca629" ns3:_="" ns4:_="">
    <xsd:import namespace="18f55b4a-d8e4-4938-8bf0-18ed312e4538"/>
    <xsd:import namespace="dad4d051-cb8c-47f3-b327-b41ebb9e67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ObjectDetectorVersions" minOccurs="0"/>
                <xsd:element ref="ns4:_activity" minOccurs="0"/>
                <xsd:element ref="ns4:MediaServiceDateTaken"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55b4a-d8e4-4938-8bf0-18ed312e4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d4d051-cb8c-47f3-b327-b41ebb9e67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d4d051-cb8c-47f3-b327-b41ebb9e67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0B16-90DD-4CAF-A5D9-04FDD16D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55b4a-d8e4-4938-8bf0-18ed312e4538"/>
    <ds:schemaRef ds:uri="dad4d051-cb8c-47f3-b327-b41ebb9e6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CD877-D5EE-400E-AE14-D83E34F13BB3}">
  <ds:schemaRefs>
    <ds:schemaRef ds:uri="http://schemas.microsoft.com/sharepoint/v3/contenttype/forms"/>
  </ds:schemaRefs>
</ds:datastoreItem>
</file>

<file path=customXml/itemProps3.xml><?xml version="1.0" encoding="utf-8"?>
<ds:datastoreItem xmlns:ds="http://schemas.openxmlformats.org/officeDocument/2006/customXml" ds:itemID="{B470380B-46AB-48E6-B196-8446C16165E8}">
  <ds:schemaRefs>
    <ds:schemaRef ds:uri="http://www.w3.org/XML/1998/namespace"/>
    <ds:schemaRef ds:uri="http://purl.org/dc/elements/1.1/"/>
    <ds:schemaRef ds:uri="dad4d051-cb8c-47f3-b327-b41ebb9e672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8f55b4a-d8e4-4938-8bf0-18ed312e4538"/>
  </ds:schemaRefs>
</ds:datastoreItem>
</file>

<file path=customXml/itemProps4.xml><?xml version="1.0" encoding="utf-8"?>
<ds:datastoreItem xmlns:ds="http://schemas.openxmlformats.org/officeDocument/2006/customXml" ds:itemID="{1708A15D-534A-4001-99AB-9CCFBFC4EC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Hickox, Stacy [NEA-GC]</dc:creator>
  <keywords/>
  <dc:description/>
  <lastModifiedBy>Guest User</lastModifiedBy>
  <revision>2</revision>
  <dcterms:created xsi:type="dcterms:W3CDTF">2025-05-29T12:49:00.0000000Z</dcterms:created>
  <dcterms:modified xsi:type="dcterms:W3CDTF">2025-06-04T13:28:15.7040878Z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0x010100A65970FD6465E447A1E721570C35A35E</vt:lpwstr>
  </property>
</Properties>
</file>